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ХМАО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ХМАО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8rplc-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мировых суде</w:t>
      </w:r>
      <w:r>
        <w:rPr>
          <w:rFonts w:ascii="Times New Roman" w:eastAsia="Times New Roman" w:hAnsi="Times New Roman" w:cs="Times New Roman"/>
          <w:sz w:val="28"/>
          <w:szCs w:val="28"/>
        </w:rPr>
        <w:t>й судебных участков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1271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2803/202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Кирсанова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Федерации; зарегистрированного по адресу: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-н д.22 кв.14, проживающего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20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01.07.2024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25.11.2024 по 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ст.19.24 КоАП РФ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судебного участка №2 Ханты-Мансийского судебного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находясь по месту жительства по адресу: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повторно в течении одного года нарушил ограничение,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отсутствовал по месту жительства и не выполнил ограничения и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Ханты-Мансийского автономного округа-Югра от 01.07.2024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надзор на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постановки на учёт в органе внутренних дел по избранному месту жительства или пребывания, в том числе запрещение пребывания вне жилого помещения, являющегося его местом жительства, в период времени с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до 06 часов 00 минут каждых суток, за исключением случаев, связанных с исполнением трудовых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17.10.2025 в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20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помощь защитника не воспользовался, вину в совершении правонарушения признал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пояснив, что проживает по </w:t>
      </w:r>
      <w:r>
        <w:rPr>
          <w:rStyle w:val="cat-Addressgrp-6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2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ч.3 ст.19.24 КоАП РФ наступает за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овторное в течение одного года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п.5 ч.1 ст.4 Федерального закона от 06.04.2011 № 64-ФЗ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серии 86 №</w:t>
      </w:r>
      <w:r>
        <w:rPr>
          <w:rFonts w:ascii="Times New Roman" w:eastAsia="Times New Roman" w:hAnsi="Times New Roman" w:cs="Times New Roman"/>
          <w:sz w:val="28"/>
          <w:szCs w:val="28"/>
        </w:rPr>
        <w:t>400744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01.07.2024; заключением о заведении дела административного надзора в отношении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11.09.2024; копией графика прибытия поднадзорного лица на регистрацию в органы внутренних дел от 11.09.2024; копией </w:t>
      </w:r>
      <w:r>
        <w:rPr>
          <w:rFonts w:ascii="Times New Roman" w:eastAsia="Times New Roman" w:hAnsi="Times New Roman" w:cs="Times New Roman"/>
          <w:sz w:val="28"/>
          <w:szCs w:val="28"/>
        </w:rPr>
        <w:t>акта посещения надзорного лица по месту жительства или пребывания от 17.10.2025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по делу об административном правонарушении от 25.11.2024; объяснением </w:t>
      </w:r>
      <w:r>
        <w:rPr>
          <w:rStyle w:val="cat-FIOgrp-18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07.11.2025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решении вопроса о квалификации действий </w:t>
      </w:r>
      <w:r>
        <w:rPr>
          <w:rStyle w:val="cat-FIOgrp-21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мирового судьи судебного участка №2 Ханты-Мансийского судебного района от 25.11.2024, вступившим в законную силу 06.12.2024, </w:t>
      </w:r>
      <w:r>
        <w:rPr>
          <w:rStyle w:val="cat-FIOgrp-20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 к административной ответственности за совершение правонарушения, предусмотренного ч.3 ст.19.24 КоАП РФ, и ему назначено наказание в виде ареста сроком на 10 (десять) суток.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FIOgrp-20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ч.3 ст.19.24 КоАП РФ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являются признание ви</w:t>
      </w:r>
      <w:r>
        <w:rPr>
          <w:rFonts w:ascii="Times New Roman" w:eastAsia="Times New Roman" w:hAnsi="Times New Roman" w:cs="Times New Roman"/>
          <w:sz w:val="28"/>
          <w:szCs w:val="28"/>
        </w:rPr>
        <w:t>ны в совершенном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Отягчающих, административную ответственность обстоятельств,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Style w:val="cat-FIOgrp-20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0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FIOgrp-22rplc-5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sz w:val="28"/>
          <w:szCs w:val="28"/>
        </w:rPr>
        <w:t>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22rplc-51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UserDefinedgrp-30rplc-8">
    <w:name w:val="cat-UserDefined grp-30 rplc-8"/>
    <w:basedOn w:val="DefaultParagraphFont"/>
  </w:style>
  <w:style w:type="character" w:customStyle="1" w:styleId="cat-ExternalSystemDefinedgrp-29rplc-9">
    <w:name w:val="cat-ExternalSystemDefined grp-29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20rplc-13">
    <w:name w:val="cat-FIO grp-20 rplc-13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8rplc-36">
    <w:name w:val="cat-FIO grp-18 rplc-36"/>
    <w:basedOn w:val="DefaultParagraphFont"/>
  </w:style>
  <w:style w:type="character" w:customStyle="1" w:styleId="cat-FIOgrp-21rplc-38">
    <w:name w:val="cat-FIO grp-21 rplc-38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19rplc-46">
    <w:name w:val="cat-FIO grp-19 rplc-46"/>
    <w:basedOn w:val="DefaultParagraphFont"/>
  </w:style>
  <w:style w:type="character" w:customStyle="1" w:styleId="cat-UserDefinedgrp-30rplc-47">
    <w:name w:val="cat-UserDefined grp-30 rplc-47"/>
    <w:basedOn w:val="DefaultParagraphFont"/>
  </w:style>
  <w:style w:type="character" w:customStyle="1" w:styleId="cat-FIOgrp-22rplc-50">
    <w:name w:val="cat-FIO grp-22 rplc-50"/>
    <w:basedOn w:val="DefaultParagraphFont"/>
  </w:style>
  <w:style w:type="character" w:customStyle="1" w:styleId="cat-FIOgrp-22rplc-51">
    <w:name w:val="cat-FIO grp-22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